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media/image3.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2"/>
        <w:spacing w:before="360" w:after="120"/>
        <w:jc w:val="both"/>
        <w:rPr/>
      </w:pPr>
      <w:r>
        <w:rPr/>
        <w:t>ANEXO Ia: Modelo de Declaración de Ausencia de Conflicto de Intereses (DACI)</w:t>
      </w:r>
    </w:p>
    <w:p>
      <w:pPr>
        <w:pStyle w:val="LOnormal"/>
        <w:spacing w:lineRule="auto" w:line="374" w:before="0" w:after="0"/>
        <w:ind w:right="320" w:hanging="0"/>
        <w:jc w:val="both"/>
        <w:rPr>
          <w:rFonts w:ascii="Inter" w:hAnsi="Inter" w:eastAsia="Inter" w:cs="Inter"/>
          <w:b/>
          <w:b/>
        </w:rPr>
      </w:pPr>
      <w:r>
        <w:rPr>
          <w:rFonts w:eastAsia="Inter" w:cs="Inter" w:ascii="Inter" w:hAnsi="Inter"/>
          <w:b/>
        </w:rPr>
        <w:t>Expediente:</w:t>
      </w:r>
    </w:p>
    <w:p>
      <w:pPr>
        <w:pStyle w:val="LOnormal"/>
        <w:spacing w:lineRule="auto" w:line="240" w:before="0" w:after="120"/>
        <w:jc w:val="both"/>
        <w:rPr/>
      </w:pPr>
      <w:r>
        <w:rPr>
          <w:rFonts w:eastAsia="Inter" w:cs="Inter" w:ascii="Inter" w:hAnsi="Inter"/>
          <w:b/>
        </w:rPr>
        <w:t>Contrato/subvención/gestión, control o pago de fondos europeos por la Secretaría- Intervención u otros responsables o empleados públicos.</w:t>
      </w:r>
      <w:r>
        <w:rPr/>
        <w:t xml:space="preserve"> </w:t>
      </w:r>
    </w:p>
    <w:p>
      <w:pPr>
        <w:pStyle w:val="LOnormal"/>
        <w:spacing w:lineRule="auto" w:line="240" w:before="0" w:after="120"/>
        <w:jc w:val="both"/>
        <w:rPr/>
      </w:pPr>
      <w:r>
        <w:rPr/>
      </w:r>
    </w:p>
    <w:p>
      <w:pPr>
        <w:pStyle w:val="LOnormal"/>
        <w:jc w:val="both"/>
        <w:rPr/>
      </w:pPr>
      <w:r>
        <w:rPr/>
        <w:t xml:space="preserve">Al objeto de garantizar los principios de objetividad, imparcialidad, transparencia e integridad en el procedimiento de contratación/subvención/gestión, control o pago arriba referenciado, el/los abajo firmante/s, como participante/s en el proceso de preparación y tramitación del expediente, declara/declaran: </w:t>
      </w:r>
    </w:p>
    <w:p>
      <w:pPr>
        <w:pStyle w:val="LOnormal"/>
        <w:jc w:val="both"/>
        <w:rPr/>
      </w:pPr>
      <w:r>
        <w:rPr/>
        <w:t>Expediente:</w:t>
      </w:r>
    </w:p>
    <w:p>
      <w:pPr>
        <w:pStyle w:val="LOnormal"/>
        <w:spacing w:lineRule="auto" w:line="240" w:before="0" w:after="120"/>
        <w:jc w:val="both"/>
        <w:rPr/>
      </w:pPr>
      <w:r>
        <w:rPr/>
        <w:t>Contrato/subvención.:</w:t>
      </w:r>
    </w:p>
    <w:p>
      <w:pPr>
        <w:pStyle w:val="LOnormal"/>
        <w:spacing w:lineRule="auto" w:line="240" w:before="0" w:after="220"/>
        <w:ind w:left="-20" w:hanging="0"/>
        <w:jc w:val="both"/>
        <w:rPr/>
      </w:pPr>
      <w:r>
        <w:rPr/>
        <w:t>Al objeto de garantizar la imparcialidad en el procedimiento de contratación/subvención arriba referenciado, el/los abajo firmante/s, como participante/s en el proceso de preparación y tramitación del expediente, declara/declaran:</w:t>
      </w:r>
    </w:p>
    <w:p>
      <w:pPr>
        <w:pStyle w:val="LOnormal"/>
        <w:spacing w:lineRule="auto" w:line="240" w:before="0" w:after="120"/>
        <w:ind w:right="320" w:hanging="0"/>
        <w:jc w:val="both"/>
        <w:rPr>
          <w:b/>
          <w:b/>
        </w:rPr>
      </w:pPr>
      <w:r>
        <w:rPr>
          <w:b/>
        </w:rPr>
        <w:t xml:space="preserve">Primero. </w:t>
      </w:r>
    </w:p>
    <w:p>
      <w:pPr>
        <w:pStyle w:val="LOnormal"/>
        <w:spacing w:lineRule="auto" w:line="240" w:before="0" w:after="120"/>
        <w:ind w:left="340" w:hanging="0"/>
        <w:jc w:val="both"/>
        <w:rPr/>
      </w:pPr>
      <w:r>
        <w:rPr/>
        <w:t>Estar informado/s de lo siguiente:</w:t>
      </w:r>
    </w:p>
    <w:p>
      <w:pPr>
        <w:pStyle w:val="LOnormal"/>
        <w:spacing w:lineRule="auto" w:line="240" w:before="0" w:after="0"/>
        <w:jc w:val="both"/>
        <w:rPr/>
      </w:pPr>
      <w:r>
        <w:rPr/>
        <w:t>1.</w:t>
      </w:r>
      <w:r>
        <w:rPr>
          <w:sz w:val="14"/>
          <w:szCs w:val="14"/>
        </w:rPr>
        <w:t xml:space="preserve">     </w:t>
      </w:r>
      <w:r>
        <w:rPr/>
        <w:t>Que el artículo 61.3 «Conflicto de intereses», del Reglamento (UE, Euratom)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pPr>
        <w:pStyle w:val="LOnormal"/>
        <w:spacing w:lineRule="auto" w:line="240" w:before="0" w:after="0"/>
        <w:jc w:val="both"/>
        <w:rPr/>
      </w:pPr>
      <w:r>
        <w:rPr/>
      </w:r>
    </w:p>
    <w:p>
      <w:pPr>
        <w:pStyle w:val="LOnormal"/>
        <w:spacing w:lineRule="auto" w:line="240" w:before="0" w:after="0"/>
        <w:jc w:val="both"/>
        <w:rPr/>
      </w:pPr>
      <w:r>
        <w:rPr/>
        <w:t>2.</w:t>
      </w:r>
      <w:r>
        <w:rPr>
          <w:sz w:val="14"/>
          <w:szCs w:val="14"/>
        </w:rPr>
        <w:t xml:space="preserve">     </w:t>
      </w:r>
      <w:r>
        <w:rPr/>
        <w:t>Que el artículo 64 «Lucha contra la corrupción y prevención de los conflictos de intereses» de la Ley 9/2017, de 8 de noviembre, de Contratos del Sector Público, por la que se trasponen al ordenamiento jurídico español las Directivas del Parlamento Europeo y del Consejo 2014/23/UE y 2014/24/UE, de 26 de febrero de 2014, define el conflicto de interés como «cualquier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pudiera parecer que compromete su imparcialidad e independencia en el contexto del procedimiento de licitación».</w:t>
      </w:r>
    </w:p>
    <w:p>
      <w:pPr>
        <w:pStyle w:val="LOnormal"/>
        <w:spacing w:lineRule="auto" w:line="240" w:before="0" w:after="0"/>
        <w:jc w:val="both"/>
        <w:rPr/>
      </w:pPr>
      <w:r>
        <w:rPr/>
      </w:r>
    </w:p>
    <w:p>
      <w:pPr>
        <w:pStyle w:val="LOnormal"/>
        <w:spacing w:lineRule="auto" w:line="240" w:before="0" w:after="0"/>
        <w:jc w:val="both"/>
        <w:rPr/>
      </w:pPr>
      <w:r>
        <w:rPr/>
        <w:t>3.</w:t>
      </w:r>
      <w:r>
        <w:rPr>
          <w:sz w:val="14"/>
          <w:szCs w:val="14"/>
        </w:rPr>
        <w:t xml:space="preserve">     </w:t>
      </w:r>
      <w:r>
        <w:rPr/>
        <w:t>Que el apartado 3 de la Disposición Adicional centésima décima segunda de la Ley 31/2022, de 23 de diciembre, de Presupuestos Generales del Estado para 2023, establece que «El análisis sistemático y automatizado del riesgo de conflicto de interés resulta de aplicación a los empleados públicos y resto de personal al servicio de entidades decisoras, ejecutoras e instrumentales que participen, de forma individual o mediante su pertenencia a órganos colegiados, en los procedimientos descritos de adjudicación de contratos o de concesión de subvenciones».</w:t>
      </w:r>
    </w:p>
    <w:p>
      <w:pPr>
        <w:pStyle w:val="LOnormal"/>
        <w:spacing w:lineRule="auto" w:line="240" w:before="0" w:after="120"/>
        <w:jc w:val="both"/>
        <w:rPr/>
      </w:pPr>
      <w:r>
        <w:rPr/>
      </w:r>
    </w:p>
    <w:p>
      <w:pPr>
        <w:pStyle w:val="LOnormal"/>
        <w:spacing w:lineRule="auto" w:line="240" w:before="0" w:after="120"/>
        <w:jc w:val="both"/>
        <w:rPr/>
      </w:pPr>
      <w:r>
        <w:rPr/>
        <w:t>4.</w:t>
      </w:r>
      <w:r>
        <w:rPr>
          <w:sz w:val="14"/>
          <w:szCs w:val="14"/>
        </w:rPr>
        <w:t xml:space="preserve">     </w:t>
      </w:r>
      <w:r>
        <w:rPr/>
        <w:t>Que el apartado 4 de la citada disposición adicional centésima décima segunda establece que:</w:t>
      </w:r>
    </w:p>
    <w:p>
      <w:pPr>
        <w:pStyle w:val="LOnormal"/>
        <w:spacing w:lineRule="auto" w:line="240" w:before="0" w:after="0"/>
        <w:jc w:val="both"/>
        <w:rPr/>
      </w:pPr>
      <w:r>
        <w:rPr/>
        <w:t>–</w:t>
      </w:r>
      <w:r>
        <w:rPr>
          <w:sz w:val="14"/>
          <w:szCs w:val="14"/>
        </w:rPr>
        <w:t xml:space="preserve">      </w:t>
      </w:r>
      <w:r>
        <w:rPr/>
        <w:t>«A través de la herramienta informática se analizarán las posibles relaciones familiares o vinculaciones societarias, directas o indirectas, en las que se pueda dar un interés personal o económico susceptible de provocar un conflicto de interés, entre las personas a las que se refiere el apartado anterior y los participantes en cada procedimiento».</w:t>
      </w:r>
    </w:p>
    <w:p>
      <w:pPr>
        <w:pStyle w:val="LOnormal"/>
        <w:spacing w:lineRule="auto" w:line="240" w:before="0" w:after="220"/>
        <w:jc w:val="both"/>
        <w:rPr/>
      </w:pPr>
      <w:r>
        <w:rPr/>
        <w:t>–</w:t>
      </w:r>
      <w:r>
        <w:rPr>
          <w:sz w:val="14"/>
          <w:szCs w:val="14"/>
        </w:rPr>
        <w:t xml:space="preserve">      </w:t>
      </w:r>
      <w:r>
        <w:rPr/>
        <w:t>«Para la identificación de las relaciones o vinculaciones la herramienta contendrá, entre otros, los datos de titularidad real de las personas jurídicas a las que se refiere el artículo 22.2.d).iii) del Reglamento (UE) 241/2021, de 12 febrero, obrantes en las bases de datos de la Agencia Estatal de Administración Tributaria y los obtenidos a través de los convenios suscritos con los Colegios de Notarios y Registradores».</w:t>
      </w:r>
    </w:p>
    <w:p>
      <w:pPr>
        <w:pStyle w:val="LOnormal"/>
        <w:spacing w:lineRule="auto" w:line="240" w:before="0" w:after="220"/>
        <w:jc w:val="both"/>
        <w:rPr/>
      </w:pPr>
      <w:r>
        <w:rPr/>
      </w:r>
    </w:p>
    <w:p>
      <w:pPr>
        <w:pStyle w:val="LOnormal"/>
        <w:spacing w:lineRule="auto" w:line="240" w:before="0" w:after="120"/>
        <w:ind w:right="320" w:hanging="0"/>
        <w:jc w:val="both"/>
        <w:rPr>
          <w:b/>
          <w:b/>
        </w:rPr>
      </w:pPr>
      <w:r>
        <w:rPr>
          <w:b/>
        </w:rPr>
        <w:t xml:space="preserve">Segundo. </w:t>
      </w:r>
    </w:p>
    <w:p>
      <w:pPr>
        <w:pStyle w:val="LOnormal"/>
        <w:spacing w:lineRule="auto" w:line="240" w:before="0" w:after="220"/>
        <w:ind w:left="-20" w:hanging="0"/>
        <w:jc w:val="both"/>
        <w:rPr/>
      </w:pPr>
      <w:r>
        <w:rPr/>
        <w:t>Que, en el momento de la firma de esta declaración y a la luz de la información obrante en su poder, no se encuentra/n incurso/s en ninguna situación que pueda calificarse de conflicto de interés, en los términos previstos en el apartado cuatro de la disposición adicional centésima décima segunda, que pueda afectar al procedimiento de licitación/ concesión de subvenciones.</w:t>
      </w:r>
    </w:p>
    <w:p>
      <w:pPr>
        <w:pStyle w:val="LOnormal"/>
        <w:spacing w:lineRule="auto" w:line="240" w:before="0" w:after="120"/>
        <w:ind w:right="320" w:hanging="0"/>
        <w:jc w:val="both"/>
        <w:rPr>
          <w:b/>
          <w:b/>
        </w:rPr>
      </w:pPr>
      <w:r>
        <w:rPr>
          <w:b/>
        </w:rPr>
        <w:t xml:space="preserve">Tercero. </w:t>
      </w:r>
    </w:p>
    <w:p>
      <w:pPr>
        <w:pStyle w:val="LOnormal"/>
        <w:spacing w:lineRule="auto" w:line="240" w:before="0" w:after="220"/>
        <w:ind w:left="-20" w:hanging="0"/>
        <w:jc w:val="both"/>
        <w:rPr/>
      </w:pPr>
      <w:r>
        <w:rPr/>
        <w:t>Que se compromete/n a poner en conocimiento del órgano de contratación/comisión de evaluación, sin dilación, cualquier situación de conflicto de interés que pudiera conocer y producirse en cualquier momento del procedimiento en curso.</w:t>
      </w:r>
    </w:p>
    <w:p>
      <w:pPr>
        <w:pStyle w:val="LOnormal"/>
        <w:spacing w:lineRule="auto" w:line="240" w:before="0" w:after="120"/>
        <w:ind w:right="320" w:hanging="0"/>
        <w:jc w:val="both"/>
        <w:rPr>
          <w:b/>
          <w:b/>
        </w:rPr>
      </w:pPr>
      <w:r>
        <w:rPr>
          <w:b/>
        </w:rPr>
        <w:t xml:space="preserve">Cuarto. </w:t>
      </w:r>
    </w:p>
    <w:p>
      <w:pPr>
        <w:pStyle w:val="LOnormal"/>
        <w:spacing w:lineRule="auto" w:line="240" w:before="0" w:after="460"/>
        <w:ind w:left="-20" w:hanging="0"/>
        <w:jc w:val="both"/>
        <w:rPr/>
      </w:pPr>
      <w:r>
        <w:rPr/>
        <w:t>Que conoce que una declaración de ausencia de conflicto de interés que se demuestre que sea falsa, acarreará las consecuencias disciplinarias/administrativas/judiciales que establezca la normativa de aplicación.</w:t>
      </w:r>
    </w:p>
    <w:p>
      <w:pPr>
        <w:pStyle w:val="Normal"/>
        <w:spacing w:before="0" w:after="160"/>
        <w:jc w:val="center"/>
        <w:rPr/>
      </w:pPr>
      <w:r>
        <w:rPr/>
        <w:t>(FIRMA, DNI Y FECHA)</w:t>
      </w:r>
    </w:p>
    <w:sectPr>
      <w:headerReference w:type="default" r:id="rId2"/>
      <w:footerReference w:type="default" r:id="rId3"/>
      <w:type w:val="nextPage"/>
      <w:pgSz w:w="11906" w:h="16838"/>
      <w:pgMar w:left="1701" w:right="1701" w:header="708"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Inter">
    <w:charset w:val="00"/>
    <w:family w:val="swiss"/>
    <w:pitch w:val="variable"/>
  </w:font>
  <w:font w:name="Inter">
    <w:charset w:val="00"/>
    <w:family w:val="roman"/>
    <w:pitch w:val="variable"/>
  </w:font>
  <w:font w:name="Liberation Sans">
    <w:altName w:val="Arial"/>
    <w:charset w:val="00"/>
    <w:family w:val="roman"/>
    <w:pitch w:val="variable"/>
  </w:font>
  <w:font w:name="Inter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jc w:val="center"/>
      <w:rPr>
        <w:b/>
        <w:b/>
        <w:bCs/>
        <w:sz w:val="28"/>
        <w:szCs w:val="28"/>
      </w:rPr>
    </w:pPr>
    <w:r>
      <w:rPr/>
      <w:drawing>
        <wp:inline distT="0" distB="0" distL="0" distR="0">
          <wp:extent cx="628650" cy="695325"/>
          <wp:effectExtent l="0" t="0" r="0" b="0"/>
          <wp:docPr id="1" name="Imagen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6" descr=""/>
                  <pic:cNvPicPr>
                    <a:picLocks noChangeAspect="1" noChangeArrowheads="1"/>
                  </pic:cNvPicPr>
                </pic:nvPicPr>
                <pic:blipFill>
                  <a:blip r:embed="rId1"/>
                  <a:stretch>
                    <a:fillRect/>
                  </a:stretch>
                </pic:blipFill>
                <pic:spPr bwMode="auto">
                  <a:xfrm>
                    <a:off x="0" y="0"/>
                    <a:ext cx="628650" cy="695325"/>
                  </a:xfrm>
                  <a:prstGeom prst="rect">
                    <a:avLst/>
                  </a:prstGeom>
                </pic:spPr>
              </pic:pic>
            </a:graphicData>
          </a:graphic>
        </wp:inline>
      </w:drawing>
    </w:r>
    <w:r>
      <w:rPr/>
      <w:t xml:space="preserve">               </w:t>
    </w:r>
    <w:r>
      <w:rPr/>
      <w:drawing>
        <wp:inline distT="0" distB="0" distL="0" distR="0">
          <wp:extent cx="1343025" cy="723900"/>
          <wp:effectExtent l="0" t="0" r="0" b="0"/>
          <wp:docPr id="2" name="Imagen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5" descr=""/>
                  <pic:cNvPicPr>
                    <a:picLocks noChangeAspect="1" noChangeArrowheads="1"/>
                  </pic:cNvPicPr>
                </pic:nvPicPr>
                <pic:blipFill>
                  <a:blip r:embed="rId2"/>
                  <a:stretch>
                    <a:fillRect/>
                  </a:stretch>
                </pic:blipFill>
                <pic:spPr bwMode="auto">
                  <a:xfrm>
                    <a:off x="0" y="0"/>
                    <a:ext cx="1343025" cy="723900"/>
                  </a:xfrm>
                  <a:prstGeom prst="rect">
                    <a:avLst/>
                  </a:prstGeom>
                </pic:spPr>
              </pic:pic>
            </a:graphicData>
          </a:graphic>
        </wp:inline>
      </w:drawing>
    </w:r>
    <w:r>
      <w:rPr/>
      <w:t xml:space="preserve">               </w:t>
    </w:r>
    <w:r>
      <w:rPr/>
      <w:drawing>
        <wp:inline distT="0" distB="0" distL="0" distR="0">
          <wp:extent cx="2419350" cy="638175"/>
          <wp:effectExtent l="0" t="0" r="0" b="0"/>
          <wp:docPr id="3"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
                  <pic:cNvPicPr>
                    <a:picLocks noChangeAspect="1" noChangeArrowheads="1"/>
                  </pic:cNvPicPr>
                </pic:nvPicPr>
                <pic:blipFill>
                  <a:blip r:embed="rId3"/>
                  <a:stretch>
                    <a:fillRect/>
                  </a:stretch>
                </pic:blipFill>
                <pic:spPr bwMode="auto">
                  <a:xfrm>
                    <a:off x="0" y="0"/>
                    <a:ext cx="2419350" cy="638175"/>
                  </a:xfrm>
                  <a:prstGeom prst="rect">
                    <a:avLst/>
                  </a:prstGeom>
                </pic:spPr>
              </pic:pic>
            </a:graphicData>
          </a:graphic>
        </wp:inline>
      </w:drawing>
    </w:r>
  </w:p>
  <w:p>
    <w:pPr>
      <w:pStyle w:val="Cabecera"/>
      <w:pBdr>
        <w:bottom w:val="single" w:sz="4" w:space="5" w:color="000000"/>
      </w:pBdr>
      <w:jc w:val="center"/>
      <w:rPr>
        <w:b/>
        <w:b/>
        <w:bCs/>
        <w:sz w:val="28"/>
        <w:szCs w:val="28"/>
      </w:rPr>
    </w:pPr>
    <w:r>
      <w:rPr>
        <w:b/>
        <w:bCs/>
        <w:sz w:val="28"/>
        <w:szCs w:val="28"/>
      </w:rPr>
    </w:r>
  </w:p>
  <w:p>
    <w:pPr>
      <w:pStyle w:val="Cabecera"/>
      <w:pBdr>
        <w:bottom w:val="single" w:sz="4" w:space="5" w:color="000000"/>
      </w:pBdr>
      <w:jc w:val="center"/>
      <w:rPr/>
    </w:pPr>
    <w:bookmarkStart w:id="0" w:name="_Hlk127349013"/>
    <w:bookmarkStart w:id="1" w:name="_Hlk127349014"/>
    <w:bookmarkStart w:id="2" w:name="_Hlk127349289"/>
    <w:bookmarkStart w:id="3" w:name="_Hlk127349290"/>
    <w:bookmarkStart w:id="4" w:name="_Hlk127349511"/>
    <w:bookmarkStart w:id="5" w:name="_Hlk127349512"/>
    <w:bookmarkStart w:id="6" w:name="_Hlk127349623"/>
    <w:bookmarkStart w:id="7" w:name="_Hlk127349624"/>
    <w:bookmarkStart w:id="8" w:name="_Hlk127349753"/>
    <w:bookmarkStart w:id="9" w:name="_Hlk127349754"/>
    <w:bookmarkStart w:id="10" w:name="_Hlk127349873"/>
    <w:bookmarkStart w:id="11" w:name="_Hlk127349874"/>
    <w:bookmarkStart w:id="12" w:name="_Hlk127350160"/>
    <w:bookmarkStart w:id="13" w:name="_Hlk127350161"/>
    <w:r>
      <w:rPr>
        <w:b/>
        <w:bCs/>
        <w:sz w:val="28"/>
        <w:szCs w:val="28"/>
      </w:rPr>
      <w:t>Ayuntamiento de Jacarilla</w:t>
    </w:r>
    <w:bookmarkEnd w:id="0"/>
    <w:bookmarkEnd w:id="1"/>
    <w:bookmarkEnd w:id="2"/>
    <w:bookmarkEnd w:id="3"/>
    <w:bookmarkEnd w:id="4"/>
    <w:bookmarkEnd w:id="5"/>
    <w:bookmarkEnd w:id="6"/>
    <w:bookmarkEnd w:id="7"/>
    <w:bookmarkEnd w:id="8"/>
    <w:bookmarkEnd w:id="9"/>
    <w:bookmarkEnd w:id="10"/>
    <w:bookmarkEnd w:id="11"/>
    <w:bookmarkEnd w:id="12"/>
    <w:bookmarkEnd w:id="13"/>
  </w:p>
  <w:p>
    <w:pPr>
      <w:pStyle w:val="Cabecera"/>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paragraph" w:styleId="Ttulo2">
    <w:name w:val="Heading 2"/>
    <w:basedOn w:val="LOnormal"/>
    <w:next w:val="LOnormal"/>
    <w:link w:val="Ttulo2Car"/>
    <w:uiPriority w:val="9"/>
    <w:unhideWhenUsed/>
    <w:qFormat/>
    <w:rsid w:val="006947f1"/>
    <w:pPr>
      <w:keepNext w:val="true"/>
      <w:keepLines/>
      <w:spacing w:lineRule="auto" w:line="240" w:before="360" w:after="120"/>
      <w:outlineLvl w:val="1"/>
    </w:pPr>
    <w:rPr>
      <w:rFonts w:ascii="Inter" w:hAnsi="Inter" w:eastAsia="Inter" w:cs="Inter"/>
      <w:sz w:val="32"/>
      <w:szCs w:val="32"/>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cc73b4"/>
    <w:rPr/>
  </w:style>
  <w:style w:type="character" w:styleId="PiedepginaCar" w:customStyle="1">
    <w:name w:val="Pie de página Car"/>
    <w:basedOn w:val="DefaultParagraphFont"/>
    <w:link w:val="Piedepgina"/>
    <w:uiPriority w:val="99"/>
    <w:qFormat/>
    <w:rsid w:val="00cc73b4"/>
    <w:rPr/>
  </w:style>
  <w:style w:type="character" w:styleId="Ttulo2Car" w:customStyle="1">
    <w:name w:val="Título 2 Car"/>
    <w:basedOn w:val="DefaultParagraphFont"/>
    <w:link w:val="Ttulo2"/>
    <w:uiPriority w:val="9"/>
    <w:qFormat/>
    <w:rsid w:val="006947f1"/>
    <w:rPr>
      <w:rFonts w:ascii="Inter" w:hAnsi="Inter" w:eastAsia="Inter" w:cs="Inter"/>
      <w:sz w:val="32"/>
      <w:szCs w:val="32"/>
      <w:lang w:val="es-ES" w:eastAsia="zh-CN" w:bidi="hi-IN"/>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paragraph" w:styleId="Cabeceraypie">
    <w:name w:val="Cabecera y pie"/>
    <w:basedOn w:val="Normal"/>
    <w:qFormat/>
    <w:pPr/>
    <w:rPr/>
  </w:style>
  <w:style w:type="paragraph" w:styleId="Cabecera">
    <w:name w:val="Header"/>
    <w:basedOn w:val="Normal"/>
    <w:link w:val="EncabezadoCar"/>
    <w:uiPriority w:val="99"/>
    <w:unhideWhenUsed/>
    <w:rsid w:val="00cc73b4"/>
    <w:pPr>
      <w:tabs>
        <w:tab w:val="clear" w:pos="708"/>
        <w:tab w:val="center" w:pos="4252" w:leader="none"/>
        <w:tab w:val="right" w:pos="8504" w:leader="none"/>
      </w:tabs>
      <w:spacing w:lineRule="auto" w:line="240" w:before="0" w:after="0"/>
    </w:pPr>
    <w:rPr/>
  </w:style>
  <w:style w:type="paragraph" w:styleId="Piedepgina">
    <w:name w:val="Footer"/>
    <w:basedOn w:val="Normal"/>
    <w:link w:val="PiedepginaCar"/>
    <w:uiPriority w:val="99"/>
    <w:unhideWhenUsed/>
    <w:rsid w:val="00cc73b4"/>
    <w:pPr>
      <w:tabs>
        <w:tab w:val="clear" w:pos="708"/>
        <w:tab w:val="center" w:pos="4252" w:leader="none"/>
        <w:tab w:val="right" w:pos="8504" w:leader="none"/>
      </w:tabs>
      <w:spacing w:lineRule="auto" w:line="240" w:before="0" w:after="0"/>
    </w:pPr>
    <w:rPr/>
  </w:style>
  <w:style w:type="paragraph" w:styleId="LOnormal" w:customStyle="1">
    <w:name w:val="LO-normal"/>
    <w:qFormat/>
    <w:rsid w:val="006947f1"/>
    <w:pPr>
      <w:widowControl/>
      <w:suppressAutoHyphens w:val="true"/>
      <w:bidi w:val="0"/>
      <w:spacing w:lineRule="auto" w:line="276" w:before="0" w:after="200"/>
      <w:jc w:val="left"/>
    </w:pPr>
    <w:rPr>
      <w:rFonts w:ascii="Inter Light" w:hAnsi="Inter Light" w:eastAsia="Inter Light" w:cs="Inter Light"/>
      <w:color w:val="auto"/>
      <w:kern w:val="0"/>
      <w:sz w:val="20"/>
      <w:szCs w:val="20"/>
      <w:lang w:val="es-ES" w:eastAsia="zh-CN" w:bidi="hi-IN"/>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66C8D-9B7F-482D-8219-637790867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Application>LibreOffice/7.0.3.1$Windows_X86_64 LibreOffice_project/d7547858d014d4cf69878db179d326fc3483e082</Application>
  <Pages>2</Pages>
  <Words>640</Words>
  <Characters>3765</Characters>
  <CharactersWithSpaces>4475</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2022-12-23T09:28:00Z</dcterms:created>
  <dc:creator>Usuario</dc:creator>
  <dc:description/>
  <dc:language>es-ES</dc:language>
  <cp:lastModifiedBy/>
  <dcterms:modified xsi:type="dcterms:W3CDTF">2023-04-27T10:25:02Z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